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长丰水库防洪抢险应急预案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shd w:val="clear" w:color="auto" w:fill="FFFFFF"/>
        <w:snapToGrid w:val="0"/>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为预防灾害性水文气候和工程本身突发性重大险情和各种突发事件发生时，有效保护国家和人民生命财产安全，最大限度地防止和减轻灾害损失，保证水库安全，结合长丰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kern w:val="0"/>
          <w:sz w:val="28"/>
          <w:szCs w:val="28"/>
        </w:rPr>
      </w:pPr>
      <w:r>
        <w:rPr>
          <w:rFonts w:hint="eastAsia" w:ascii="宋体" w:hAnsi="宋体" w:eastAsia="宋体" w:cs="宋体"/>
          <w:kern w:val="1"/>
          <w:sz w:val="28"/>
          <w:szCs w:val="28"/>
        </w:rPr>
        <w:t>该工程始建于1963年，该工程始终建于1969年，后于1971年扩建，2010年溢洪道进行拓宽处理，2011年进行除险加固达到现有规模。集雨面积3.32平方公里，总库容71.97万m3，有效库容43.84万m3，防洪库容22.11万m3，坝顶高程100米，最大坝高15.5米，最大坝长70米，溢洪道底板高程95.75米，底宽10米，设计洪水标准20年一遇，灌溉放水采用斜管型式放水，放水洞为无压隧洞，灌溉面积760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主汛期为4－6月，汛期限制水位95.75m；后汛期7－9月，汛期限制水位95.75m。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kern w:val="0"/>
          <w:sz w:val="28"/>
          <w:szCs w:val="28"/>
        </w:rPr>
        <w:t>负责督促有村委会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w:t>
      </w:r>
      <w:r>
        <w:rPr>
          <w:rFonts w:hint="eastAsia" w:ascii="宋体" w:hAnsi="宋体" w:eastAsia="宋体" w:cs="宋体"/>
          <w:kern w:val="0"/>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w:t>
      </w:r>
      <w:r>
        <w:rPr>
          <w:rFonts w:hint="eastAsia" w:ascii="宋体" w:hAnsi="宋体" w:eastAsia="宋体" w:cs="宋体"/>
          <w:kern w:val="0"/>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kern w:val="0"/>
          <w:sz w:val="28"/>
          <w:szCs w:val="28"/>
        </w:rPr>
        <w:t>：洪水发，联系电话：13879867878；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成立长丰水库应急抢险临时指挥</w:t>
      </w:r>
      <w:r>
        <w:rPr>
          <w:rFonts w:hint="eastAsia" w:ascii="宋体" w:hAnsi="宋体" w:eastAsia="宋体" w:cs="宋体"/>
          <w:kern w:val="0"/>
          <w:sz w:val="28"/>
          <w:szCs w:val="28"/>
        </w:rPr>
        <w:t>部，</w:t>
      </w:r>
      <w:r>
        <w:rPr>
          <w:rFonts w:hint="eastAsia" w:ascii="宋体" w:hAnsi="宋体" w:eastAsia="宋体" w:cs="宋体"/>
          <w:sz w:val="28"/>
          <w:szCs w:val="28"/>
        </w:rPr>
        <w:t>镇党委委员副镇长</w:t>
      </w:r>
      <w:r>
        <w:rPr>
          <w:rFonts w:hint="eastAsia" w:ascii="宋体" w:hAnsi="宋体" w:eastAsia="宋体" w:cs="宋体"/>
          <w:bCs/>
          <w:sz w:val="28"/>
          <w:szCs w:val="28"/>
        </w:rPr>
        <w:t>翟育勇</w:t>
      </w:r>
      <w:r>
        <w:rPr>
          <w:rFonts w:hint="eastAsia" w:ascii="宋体" w:hAnsi="宋体" w:eastAsia="宋体" w:cs="宋体"/>
          <w:kern w:val="0"/>
          <w:sz w:val="28"/>
          <w:szCs w:val="28"/>
        </w:rPr>
        <w:t>任指挥（</w:t>
      </w:r>
      <w:r>
        <w:rPr>
          <w:rFonts w:hint="eastAsia" w:ascii="宋体" w:hAnsi="宋体" w:eastAsia="宋体" w:cs="宋体"/>
          <w:sz w:val="28"/>
          <w:szCs w:val="28"/>
        </w:rPr>
        <w:t>电话：</w:t>
      </w:r>
      <w:r>
        <w:rPr>
          <w:rFonts w:hint="eastAsia" w:ascii="宋体" w:hAnsi="宋体" w:eastAsia="宋体" w:cs="宋体"/>
          <w:bCs/>
          <w:sz w:val="28"/>
          <w:szCs w:val="28"/>
        </w:rPr>
        <w:t>13507985038</w:t>
      </w:r>
      <w:r>
        <w:rPr>
          <w:rFonts w:hint="eastAsia" w:ascii="宋体" w:hAnsi="宋体" w:eastAsia="宋体" w:cs="宋体"/>
          <w:sz w:val="28"/>
          <w:szCs w:val="28"/>
        </w:rPr>
        <w:t>）负责</w:t>
      </w:r>
      <w:r>
        <w:rPr>
          <w:rFonts w:hint="eastAsia" w:ascii="宋体" w:hAnsi="宋体" w:eastAsia="宋体" w:cs="宋体"/>
          <w:kern w:val="0"/>
          <w:sz w:val="28"/>
          <w:szCs w:val="28"/>
        </w:rPr>
        <w:t>组织协调、现场指挥水库防洪和抢险工作；成员有：洪水发，联系电话：13879867878</w:t>
      </w:r>
      <w:r>
        <w:rPr>
          <w:rFonts w:hint="eastAsia" w:ascii="宋体" w:hAnsi="宋体" w:eastAsia="宋体" w:cs="宋体"/>
          <w:sz w:val="28"/>
          <w:szCs w:val="28"/>
        </w:rPr>
        <w:t>负责信息监测；翁九文负责转移安置</w:t>
      </w:r>
      <w:r>
        <w:rPr>
          <w:rFonts w:hint="eastAsia" w:ascii="宋体" w:hAnsi="宋体" w:eastAsia="宋体" w:cs="宋体"/>
          <w:kern w:val="0"/>
          <w:sz w:val="28"/>
          <w:szCs w:val="28"/>
        </w:rPr>
        <w:t>（</w:t>
      </w:r>
      <w:r>
        <w:rPr>
          <w:rFonts w:hint="eastAsia" w:ascii="宋体" w:hAnsi="宋体" w:eastAsia="宋体" w:cs="宋体"/>
          <w:sz w:val="28"/>
          <w:szCs w:val="28"/>
        </w:rPr>
        <w:t>电话：18279881866）；</w:t>
      </w:r>
      <w:r>
        <w:rPr>
          <w:rFonts w:hint="eastAsia" w:ascii="宋体" w:hAnsi="宋体" w:eastAsia="宋体" w:cs="宋体"/>
          <w:kern w:val="0"/>
          <w:sz w:val="28"/>
          <w:szCs w:val="28"/>
        </w:rPr>
        <w:t>翁露娟（</w:t>
      </w:r>
      <w:r>
        <w:rPr>
          <w:rFonts w:hint="eastAsia" w:ascii="宋体" w:hAnsi="宋体" w:eastAsia="宋体" w:cs="宋体"/>
          <w:sz w:val="28"/>
          <w:szCs w:val="28"/>
        </w:rPr>
        <w:t>电话：13879894968）负责临时生活保障；</w:t>
      </w:r>
      <w:r>
        <w:rPr>
          <w:rFonts w:hint="eastAsia" w:ascii="宋体" w:hAnsi="宋体" w:eastAsia="宋体" w:cs="宋体"/>
          <w:kern w:val="0"/>
          <w:sz w:val="28"/>
          <w:szCs w:val="28"/>
        </w:rPr>
        <w:t>李金忠（</w:t>
      </w:r>
      <w:r>
        <w:rPr>
          <w:rFonts w:hint="eastAsia" w:ascii="宋体" w:hAnsi="宋体" w:eastAsia="宋体" w:cs="宋体"/>
          <w:sz w:val="28"/>
          <w:szCs w:val="28"/>
        </w:rPr>
        <w:t>电话：15079865951）。负责组织应急抢险队伍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队长由长源村委员翁九文担任，（</w:t>
      </w:r>
      <w:r>
        <w:rPr>
          <w:rFonts w:hint="eastAsia" w:ascii="宋体" w:hAnsi="宋体" w:eastAsia="宋体" w:cs="宋体"/>
          <w:sz w:val="28"/>
          <w:szCs w:val="28"/>
        </w:rPr>
        <w:t>电话：18279881866），</w:t>
      </w:r>
      <w:r>
        <w:rPr>
          <w:rFonts w:hint="eastAsia" w:ascii="宋体" w:hAnsi="宋体" w:eastAsia="宋体" w:cs="宋体"/>
          <w:kern w:val="0"/>
          <w:sz w:val="28"/>
          <w:szCs w:val="28"/>
        </w:rPr>
        <w:t xml:space="preserve">并负责召集务工在家的村干部、组干部、党员、民兵及青壮年劳动力等30人。 </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kern w:val="0"/>
          <w:sz w:val="28"/>
          <w:szCs w:val="28"/>
        </w:rPr>
        <w:t>洪水发，联系电话：13879867878</w:t>
      </w:r>
      <w:r>
        <w:rPr>
          <w:rFonts w:hint="eastAsia" w:ascii="宋体" w:hAnsi="宋体" w:eastAsia="宋体" w:cs="宋体"/>
          <w:sz w:val="28"/>
          <w:szCs w:val="28"/>
        </w:rPr>
        <w:t>。</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通信、交通、电力保障措施分别由通信、交通、电力单位做好抢修保障工作。长源村委会负责组织汛前防洪抢险演练。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jc w:val="both"/>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5  人员转移与安置</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水</w:t>
      </w:r>
      <w:r>
        <w:rPr>
          <w:rFonts w:hint="eastAsia" w:ascii="宋体" w:hAnsi="宋体" w:eastAsia="宋体" w:cs="宋体"/>
          <w:sz w:val="28"/>
          <w:szCs w:val="28"/>
        </w:rPr>
        <w:t>水库下游危险区范围有</w:t>
      </w:r>
      <w:r>
        <w:rPr>
          <w:rFonts w:hint="eastAsia" w:ascii="宋体" w:hAnsi="宋体" w:eastAsia="宋体" w:cs="宋体"/>
          <w:kern w:val="1"/>
          <w:sz w:val="28"/>
          <w:szCs w:val="28"/>
        </w:rPr>
        <w:t>曹村、长源村小组，户数75户，人口260人，</w:t>
      </w:r>
      <w:r>
        <w:rPr>
          <w:rFonts w:hint="eastAsia" w:ascii="宋体" w:hAnsi="宋体" w:eastAsia="宋体" w:cs="宋体"/>
          <w:kern w:val="0"/>
          <w:sz w:val="28"/>
          <w:szCs w:val="28"/>
        </w:rPr>
        <w:t>转移安置负责人:李金忠</w:t>
      </w:r>
      <w:r>
        <w:rPr>
          <w:rFonts w:hint="eastAsia" w:ascii="宋体" w:hAnsi="宋体" w:eastAsia="宋体" w:cs="宋体"/>
          <w:sz w:val="28"/>
          <w:szCs w:val="28"/>
        </w:rPr>
        <w:t>15079865951</w:t>
      </w:r>
      <w:r>
        <w:rPr>
          <w:rFonts w:hint="eastAsia" w:ascii="宋体" w:hAnsi="宋体" w:eastAsia="宋体" w:cs="宋体"/>
          <w:kern w:val="0"/>
          <w:sz w:val="28"/>
          <w:szCs w:val="28"/>
        </w:rPr>
        <w:t>；</w:t>
      </w:r>
      <w:r>
        <w:rPr>
          <w:rFonts w:hint="eastAsia" w:ascii="宋体" w:hAnsi="宋体" w:eastAsia="宋体" w:cs="宋体"/>
          <w:kern w:val="1"/>
          <w:sz w:val="28"/>
          <w:szCs w:val="28"/>
        </w:rPr>
        <w:t>曹村、长源村小组，户数75户，人口260人</w:t>
      </w:r>
      <w:r>
        <w:rPr>
          <w:rFonts w:hint="eastAsia" w:ascii="宋体" w:hAnsi="宋体" w:eastAsia="宋体" w:cs="宋体"/>
          <w:kern w:val="0"/>
          <w:sz w:val="28"/>
          <w:szCs w:val="28"/>
        </w:rPr>
        <w:t>；转移路线：就近；安置点：村后高地农户家；人员转移命令方式：鸣锣。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ascii="仿宋" w:hAnsi="仿宋" w:eastAsia="仿宋"/>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长丰</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50pt;width:414.65pt;" filled="f" o:preferrelative="t" stroked="f" coordsize="21600,21600">
            <v:path/>
            <v:fill on="f" focussize="0,0"/>
            <v:stroke on="f" joinstyle="miter"/>
            <v:imagedata r:id="rId6" o:title="长丰水库"/>
            <o:lock v:ext="edit" aspectratio="t"/>
            <w10:wrap type="none"/>
            <w10:anchorlock/>
          </v:shape>
        </w:pict>
      </w:r>
    </w:p>
    <w:p>
      <w:pPr>
        <w:jc w:val="center"/>
      </w:pPr>
      <w:r>
        <w:rPr>
          <w:rFonts w:hint="eastAsia" w:ascii="仿宋" w:hAnsi="仿宋" w:eastAsia="仿宋"/>
          <w:sz w:val="28"/>
          <w:szCs w:val="28"/>
        </w:rPr>
        <w:t>水库地理位置示意图</w:t>
      </w:r>
      <w:r>
        <w:drawing>
          <wp:inline distT="0" distB="0" distL="0" distR="0">
            <wp:extent cx="5892165" cy="4491355"/>
            <wp:effectExtent l="1905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noChangeArrowheads="1"/>
                    </pic:cNvPicPr>
                  </pic:nvPicPr>
                  <pic:blipFill>
                    <a:blip r:embed="rId7" cstate="print"/>
                    <a:srcRect l="42566" t="45378" r="33534" b="12045"/>
                    <a:stretch>
                      <a:fillRect/>
                    </a:stretch>
                  </pic:blipFill>
                  <pic:spPr>
                    <a:xfrm>
                      <a:off x="0" y="0"/>
                      <a:ext cx="5896091" cy="4494133"/>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长丰水库平面布置图</w:t>
      </w:r>
    </w:p>
    <w:p>
      <w:pPr>
        <w:spacing w:line="560" w:lineRule="exact"/>
        <w:jc w:val="center"/>
        <w:rPr>
          <w:rFonts w:ascii="仿宋" w:hAnsi="仿宋" w:eastAsia="仿宋" w:cs="Times New Roman"/>
          <w:sz w:val="28"/>
          <w:szCs w:val="28"/>
        </w:rPr>
        <w:sectPr>
          <w:pgSz w:w="11906" w:h="16838"/>
          <w:pgMar w:top="1440" w:right="1800" w:bottom="1440" w:left="1800" w:header="851" w:footer="992" w:gutter="0"/>
          <w:pgNumType w:start="56"/>
          <w:cols w:space="425" w:num="1"/>
          <w:docGrid w:type="lines" w:linePitch="312" w:charSpace="0"/>
        </w:sectPr>
      </w:pPr>
    </w:p>
    <w:tbl>
      <w:tblPr>
        <w:tblStyle w:val="5"/>
        <w:tblW w:w="15210" w:type="dxa"/>
        <w:jc w:val="center"/>
        <w:tblLayout w:type="fixed"/>
        <w:tblCellMar>
          <w:top w:w="0" w:type="dxa"/>
          <w:left w:w="108" w:type="dxa"/>
          <w:bottom w:w="0" w:type="dxa"/>
          <w:right w:w="108" w:type="dxa"/>
        </w:tblCellMar>
      </w:tblPr>
      <w:tblGrid>
        <w:gridCol w:w="426"/>
        <w:gridCol w:w="1083"/>
        <w:gridCol w:w="60"/>
        <w:gridCol w:w="62"/>
        <w:gridCol w:w="439"/>
        <w:gridCol w:w="520"/>
        <w:gridCol w:w="135"/>
        <w:gridCol w:w="123"/>
        <w:gridCol w:w="871"/>
        <w:gridCol w:w="410"/>
        <w:gridCol w:w="1138"/>
        <w:gridCol w:w="101"/>
        <w:gridCol w:w="1184"/>
        <w:gridCol w:w="48"/>
        <w:gridCol w:w="234"/>
        <w:gridCol w:w="1141"/>
        <w:gridCol w:w="983"/>
        <w:gridCol w:w="434"/>
        <w:gridCol w:w="1004"/>
        <w:gridCol w:w="363"/>
        <w:gridCol w:w="776"/>
        <w:gridCol w:w="336"/>
        <w:gridCol w:w="233"/>
        <w:gridCol w:w="569"/>
        <w:gridCol w:w="310"/>
        <w:gridCol w:w="401"/>
        <w:gridCol w:w="569"/>
        <w:gridCol w:w="142"/>
        <w:gridCol w:w="1115"/>
      </w:tblGrid>
      <w:tr>
        <w:tblPrEx>
          <w:tblCellMar>
            <w:top w:w="0" w:type="dxa"/>
            <w:left w:w="108" w:type="dxa"/>
            <w:bottom w:w="0" w:type="dxa"/>
            <w:right w:w="108" w:type="dxa"/>
          </w:tblCellMar>
        </w:tblPrEx>
        <w:trPr>
          <w:trHeight w:val="465" w:hRule="atLeast"/>
          <w:jc w:val="center"/>
        </w:trPr>
        <w:tc>
          <w:tcPr>
            <w:tcW w:w="15210"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长丰</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762" w:hRule="atLeast"/>
          <w:jc w:val="center"/>
        </w:trPr>
        <w:tc>
          <w:tcPr>
            <w:tcW w:w="15210"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4"/>
                <w:szCs w:val="24"/>
              </w:rPr>
            </w:pPr>
            <w:r>
              <w:rPr>
                <w:rFonts w:hint="eastAsia" w:ascii="仿宋" w:hAnsi="仿宋" w:eastAsia="仿宋" w:cs="仿宋"/>
                <w:b/>
                <w:bCs/>
                <w:kern w:val="0"/>
                <w:sz w:val="24"/>
                <w:szCs w:val="24"/>
              </w:rPr>
              <w:t>所在县（市、区）：浮梁县      位置：湘湖镇长源村          所在流域及水系：饶河昌江支流南河        高程系统：  黄海高程</w:t>
            </w:r>
            <w:r>
              <w:rPr>
                <w:rFonts w:hint="eastAsia" w:ascii="仿宋" w:hAnsi="仿宋" w:eastAsia="仿宋" w:cs="仿宋"/>
                <w:b/>
                <w:bCs/>
                <w:sz w:val="24"/>
                <w:szCs w:val="24"/>
              </w:rPr>
              <w:t xml:space="preserve"> </w:t>
            </w:r>
          </w:p>
        </w:tc>
      </w:tr>
      <w:tr>
        <w:tblPrEx>
          <w:tblCellMar>
            <w:top w:w="0" w:type="dxa"/>
            <w:left w:w="108" w:type="dxa"/>
            <w:bottom w:w="0" w:type="dxa"/>
            <w:right w:w="108" w:type="dxa"/>
          </w:tblCellMar>
        </w:tblPrEx>
        <w:trPr>
          <w:trHeight w:val="665"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工程特性</w:t>
            </w:r>
          </w:p>
        </w:tc>
        <w:tc>
          <w:tcPr>
            <w:tcW w:w="120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规模</w:t>
            </w:r>
          </w:p>
        </w:tc>
        <w:tc>
          <w:tcPr>
            <w:tcW w:w="109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主坝类型</w:t>
            </w:r>
          </w:p>
        </w:tc>
        <w:tc>
          <w:tcPr>
            <w:tcW w:w="264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管理机构</w:t>
            </w:r>
          </w:p>
        </w:tc>
        <w:tc>
          <w:tcPr>
            <w:tcW w:w="118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集雨面积（km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1423"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总库容（万m</w:t>
            </w:r>
            <w:r>
              <w:rPr>
                <w:rFonts w:hint="eastAsia" w:ascii="仿宋" w:hAnsi="仿宋" w:eastAsia="仿宋" w:cs="仿宋"/>
                <w:sz w:val="24"/>
                <w:szCs w:val="24"/>
                <w:vertAlign w:val="superscript"/>
              </w:rPr>
              <w:t>3</w:t>
            </w:r>
            <w:r>
              <w:rPr>
                <w:rFonts w:hint="eastAsia" w:ascii="仿宋" w:hAnsi="仿宋" w:eastAsia="仿宋" w:cs="仿宋"/>
                <w:sz w:val="24"/>
                <w:szCs w:val="24"/>
              </w:rPr>
              <w:t>）</w:t>
            </w:r>
          </w:p>
        </w:tc>
        <w:tc>
          <w:tcPr>
            <w:tcW w:w="1417"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汛限水位（主/后）</w:t>
            </w:r>
          </w:p>
        </w:tc>
        <w:tc>
          <w:tcPr>
            <w:tcW w:w="1367"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正常蓄水位</w:t>
            </w:r>
          </w:p>
        </w:tc>
        <w:tc>
          <w:tcPr>
            <w:tcW w:w="111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设计洪水标准</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设计洪水位</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校核洪水标准</w:t>
            </w:r>
          </w:p>
        </w:tc>
        <w:tc>
          <w:tcPr>
            <w:tcW w:w="1115"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校核洪水位</w:t>
            </w:r>
          </w:p>
        </w:tc>
      </w:tr>
      <w:tr>
        <w:tblPrEx>
          <w:tblCellMar>
            <w:top w:w="0" w:type="dxa"/>
            <w:left w:w="108" w:type="dxa"/>
            <w:bottom w:w="0" w:type="dxa"/>
            <w:right w:w="108" w:type="dxa"/>
          </w:tblCellMar>
        </w:tblPrEx>
        <w:trPr>
          <w:trHeight w:val="714"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20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小（二）型</w:t>
            </w:r>
          </w:p>
        </w:tc>
        <w:tc>
          <w:tcPr>
            <w:tcW w:w="109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斜墙土坝</w:t>
            </w:r>
          </w:p>
        </w:tc>
        <w:tc>
          <w:tcPr>
            <w:tcW w:w="264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湘湖镇人民政府</w:t>
            </w:r>
          </w:p>
        </w:tc>
        <w:tc>
          <w:tcPr>
            <w:tcW w:w="118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3.32</w:t>
            </w:r>
          </w:p>
        </w:tc>
        <w:tc>
          <w:tcPr>
            <w:tcW w:w="1423"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71.97</w:t>
            </w:r>
          </w:p>
        </w:tc>
        <w:tc>
          <w:tcPr>
            <w:tcW w:w="141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95.75</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95.75</w:t>
            </w:r>
          </w:p>
        </w:tc>
        <w:tc>
          <w:tcPr>
            <w:tcW w:w="111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0.5%</w:t>
            </w:r>
          </w:p>
        </w:tc>
        <w:tc>
          <w:tcPr>
            <w:tcW w:w="1115"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bookmarkStart w:id="0" w:name="_GoBack"/>
            <w:bookmarkEnd w:id="0"/>
          </w:p>
        </w:tc>
      </w:tr>
      <w:tr>
        <w:tblPrEx>
          <w:tblCellMar>
            <w:top w:w="0" w:type="dxa"/>
            <w:left w:w="108" w:type="dxa"/>
            <w:bottom w:w="0" w:type="dxa"/>
            <w:right w:w="108" w:type="dxa"/>
          </w:tblCellMar>
        </w:tblPrEx>
        <w:trPr>
          <w:trHeight w:val="443"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防汛责任人</w:t>
            </w:r>
          </w:p>
        </w:tc>
        <w:tc>
          <w:tcPr>
            <w:tcW w:w="3703"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行政责任人</w:t>
            </w:r>
          </w:p>
        </w:tc>
        <w:tc>
          <w:tcPr>
            <w:tcW w:w="3846"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直接责任人</w:t>
            </w:r>
          </w:p>
        </w:tc>
        <w:tc>
          <w:tcPr>
            <w:tcW w:w="3560"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技术责任人</w:t>
            </w:r>
          </w:p>
        </w:tc>
        <w:tc>
          <w:tcPr>
            <w:tcW w:w="3675"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巡查责任人</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423"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41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00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单位及职务</w:t>
            </w:r>
          </w:p>
        </w:tc>
        <w:tc>
          <w:tcPr>
            <w:tcW w:w="11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5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71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周奇峰</w:t>
            </w:r>
          </w:p>
        </w:tc>
        <w:tc>
          <w:tcPr>
            <w:tcW w:w="127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湘湖镇人民政府镇长</w:t>
            </w:r>
          </w:p>
        </w:tc>
        <w:tc>
          <w:tcPr>
            <w:tcW w:w="128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13807986618</w:t>
            </w:r>
          </w:p>
        </w:tc>
        <w:tc>
          <w:tcPr>
            <w:tcW w:w="1138"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翟育勇</w:t>
            </w:r>
          </w:p>
        </w:tc>
        <w:tc>
          <w:tcPr>
            <w:tcW w:w="1285"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副镇长</w:t>
            </w:r>
          </w:p>
        </w:tc>
        <w:tc>
          <w:tcPr>
            <w:tcW w:w="1423"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rPr>
                <w:rFonts w:hint="eastAsia" w:ascii="仿宋" w:hAnsi="仿宋" w:eastAsia="仿宋" w:cs="仿宋"/>
                <w:sz w:val="24"/>
                <w:szCs w:val="24"/>
              </w:rPr>
            </w:pPr>
            <w:r>
              <w:rPr>
                <w:rFonts w:hint="eastAsia" w:ascii="仿宋" w:hAnsi="仿宋" w:eastAsia="仿宋" w:cs="仿宋"/>
                <w:bCs/>
                <w:sz w:val="24"/>
                <w:szCs w:val="24"/>
              </w:rPr>
              <w:t>13507985038</w:t>
            </w:r>
          </w:p>
        </w:tc>
        <w:tc>
          <w:tcPr>
            <w:tcW w:w="1417"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4"/>
                <w:szCs w:val="24"/>
              </w:rPr>
            </w:pPr>
            <w:r>
              <w:rPr>
                <w:rFonts w:hint="eastAsia" w:ascii="仿宋" w:hAnsi="仿宋" w:eastAsia="仿宋" w:cs="仿宋"/>
                <w:bCs/>
                <w:sz w:val="24"/>
                <w:szCs w:val="24"/>
              </w:rPr>
              <w:t>彭长寿</w:t>
            </w:r>
          </w:p>
        </w:tc>
        <w:tc>
          <w:tcPr>
            <w:tcW w:w="1004"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4"/>
                <w:szCs w:val="24"/>
              </w:rPr>
            </w:pPr>
            <w:r>
              <w:rPr>
                <w:rFonts w:hint="eastAsia" w:ascii="仿宋" w:hAnsi="仿宋" w:eastAsia="仿宋" w:cs="仿宋"/>
                <w:bCs/>
                <w:sz w:val="24"/>
                <w:szCs w:val="24"/>
              </w:rPr>
              <w:t>水利负责人</w:t>
            </w:r>
          </w:p>
        </w:tc>
        <w:tc>
          <w:tcPr>
            <w:tcW w:w="11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13707987619</w:t>
            </w:r>
          </w:p>
        </w:tc>
        <w:tc>
          <w:tcPr>
            <w:tcW w:w="1138"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洪水发</w:t>
            </w:r>
          </w:p>
        </w:tc>
        <w:tc>
          <w:tcPr>
            <w:tcW w:w="1280"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水库安全管理员</w:t>
            </w:r>
          </w:p>
        </w:tc>
        <w:tc>
          <w:tcPr>
            <w:tcW w:w="1257"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13879867878</w:t>
            </w:r>
          </w:p>
        </w:tc>
      </w:tr>
      <w:tr>
        <w:tblPrEx>
          <w:tblCellMar>
            <w:top w:w="0" w:type="dxa"/>
            <w:left w:w="108" w:type="dxa"/>
            <w:bottom w:w="0" w:type="dxa"/>
            <w:right w:w="108" w:type="dxa"/>
          </w:tblCellMar>
        </w:tblPrEx>
        <w:trPr>
          <w:trHeight w:val="470"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人员转移与安置</w:t>
            </w:r>
          </w:p>
        </w:tc>
        <w:tc>
          <w:tcPr>
            <w:tcW w:w="14784"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转移安置主要负责人</w:t>
            </w:r>
          </w:p>
        </w:tc>
      </w:tr>
      <w:tr>
        <w:tblPrEx>
          <w:tblCellMar>
            <w:top w:w="0" w:type="dxa"/>
            <w:left w:w="108" w:type="dxa"/>
            <w:bottom w:w="0" w:type="dxa"/>
            <w:right w:w="108" w:type="dxa"/>
          </w:tblCellMar>
        </w:tblPrEx>
        <w:trPr>
          <w:trHeight w:val="55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494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县（市）</w:t>
            </w:r>
          </w:p>
        </w:tc>
        <w:tc>
          <w:tcPr>
            <w:tcW w:w="539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445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r>
      <w:tr>
        <w:tblPrEx>
          <w:tblCellMar>
            <w:top w:w="0" w:type="dxa"/>
            <w:left w:w="108" w:type="dxa"/>
            <w:bottom w:w="0" w:type="dxa"/>
            <w:right w:w="108" w:type="dxa"/>
          </w:tblCellMar>
        </w:tblPrEx>
        <w:trPr>
          <w:trHeight w:val="34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64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649"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46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21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0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4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46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6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县委常委组织部长</w:t>
            </w:r>
          </w:p>
        </w:tc>
        <w:tc>
          <w:tcPr>
            <w:tcW w:w="164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46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kern w:val="0"/>
                <w:sz w:val="24"/>
                <w:szCs w:val="24"/>
              </w:rPr>
            </w:pPr>
            <w:r>
              <w:rPr>
                <w:rFonts w:hint="eastAsia" w:ascii="仿宋" w:hAnsi="仿宋" w:eastAsia="仿宋" w:cs="仿宋"/>
                <w:color w:val="000000"/>
                <w:kern w:val="0"/>
                <w:sz w:val="24"/>
                <w:szCs w:val="24"/>
              </w:rPr>
              <w:t>金志玲</w:t>
            </w:r>
          </w:p>
        </w:tc>
        <w:tc>
          <w:tcPr>
            <w:tcW w:w="2124"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人大副主席</w:t>
            </w:r>
          </w:p>
        </w:tc>
        <w:tc>
          <w:tcPr>
            <w:tcW w:w="180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sz w:val="24"/>
                <w:szCs w:val="24"/>
              </w:rPr>
              <w:t>13517987588</w:t>
            </w:r>
          </w:p>
        </w:tc>
        <w:tc>
          <w:tcPr>
            <w:tcW w:w="1345"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李金忠</w:t>
            </w:r>
          </w:p>
        </w:tc>
        <w:tc>
          <w:tcPr>
            <w:tcW w:w="12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村支书</w:t>
            </w:r>
          </w:p>
        </w:tc>
        <w:tc>
          <w:tcPr>
            <w:tcW w:w="182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kern w:val="0"/>
                <w:sz w:val="24"/>
                <w:szCs w:val="24"/>
              </w:rPr>
            </w:pPr>
            <w:r>
              <w:rPr>
                <w:rFonts w:hint="eastAsia" w:ascii="仿宋" w:hAnsi="仿宋" w:eastAsia="仿宋" w:cs="仿宋"/>
                <w:kern w:val="0"/>
                <w:sz w:val="24"/>
                <w:szCs w:val="24"/>
              </w:rPr>
              <w:t>15079865951</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自然村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居住高程(m)</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转移户数(户)</w:t>
            </w:r>
          </w:p>
        </w:tc>
        <w:tc>
          <w:tcPr>
            <w:tcW w:w="13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转移人口(人)</w:t>
            </w:r>
          </w:p>
        </w:tc>
        <w:tc>
          <w:tcPr>
            <w:tcW w:w="141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转移安置地</w:t>
            </w:r>
          </w:p>
        </w:tc>
        <w:tc>
          <w:tcPr>
            <w:tcW w:w="136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转移距离(km)</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转移路线</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转移交通工具</w:t>
            </w:r>
          </w:p>
        </w:tc>
      </w:tr>
      <w:tr>
        <w:tblPrEx>
          <w:tblCellMar>
            <w:top w:w="0" w:type="dxa"/>
            <w:left w:w="108" w:type="dxa"/>
            <w:bottom w:w="0" w:type="dxa"/>
            <w:right w:w="108" w:type="dxa"/>
          </w:tblCellMar>
        </w:tblPrEx>
        <w:trPr>
          <w:trHeight w:val="324"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北安村</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曹村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88</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30</w:t>
            </w:r>
          </w:p>
        </w:tc>
        <w:tc>
          <w:tcPr>
            <w:tcW w:w="13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120</w:t>
            </w:r>
          </w:p>
        </w:tc>
        <w:tc>
          <w:tcPr>
            <w:tcW w:w="141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村后高地</w:t>
            </w:r>
          </w:p>
        </w:tc>
        <w:tc>
          <w:tcPr>
            <w:tcW w:w="136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就近</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徒步</w:t>
            </w:r>
          </w:p>
        </w:tc>
      </w:tr>
      <w:tr>
        <w:tblPrEx>
          <w:tblCellMar>
            <w:top w:w="0" w:type="dxa"/>
            <w:left w:w="108" w:type="dxa"/>
            <w:bottom w:w="0" w:type="dxa"/>
            <w:right w:w="108" w:type="dxa"/>
          </w:tblCellMar>
        </w:tblPrEx>
        <w:trPr>
          <w:trHeight w:val="308"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w:t>
            </w:r>
          </w:p>
        </w:tc>
        <w:tc>
          <w:tcPr>
            <w:tcW w:w="1081" w:type="dxa"/>
            <w:gridSpan w:val="4"/>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长源村</w:t>
            </w:r>
          </w:p>
        </w:tc>
        <w:tc>
          <w:tcPr>
            <w:tcW w:w="1539" w:type="dxa"/>
            <w:gridSpan w:val="4"/>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长源</w:t>
            </w:r>
          </w:p>
        </w:tc>
        <w:tc>
          <w:tcPr>
            <w:tcW w:w="1239"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70</w:t>
            </w:r>
          </w:p>
        </w:tc>
        <w:tc>
          <w:tcPr>
            <w:tcW w:w="1232"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35</w:t>
            </w:r>
          </w:p>
        </w:tc>
        <w:tc>
          <w:tcPr>
            <w:tcW w:w="137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140</w:t>
            </w:r>
          </w:p>
        </w:tc>
        <w:tc>
          <w:tcPr>
            <w:tcW w:w="14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村后高地农户家</w:t>
            </w:r>
          </w:p>
        </w:tc>
        <w:tc>
          <w:tcPr>
            <w:tcW w:w="136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就近</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徒步</w:t>
            </w:r>
          </w:p>
        </w:tc>
      </w:tr>
      <w:tr>
        <w:tblPrEx>
          <w:tblCellMar>
            <w:top w:w="0" w:type="dxa"/>
            <w:left w:w="108" w:type="dxa"/>
            <w:bottom w:w="0" w:type="dxa"/>
            <w:right w:w="108" w:type="dxa"/>
          </w:tblCellMar>
        </w:tblPrEx>
        <w:trPr>
          <w:trHeight w:val="308" w:hRule="atLeast"/>
          <w:jc w:val="center"/>
        </w:trPr>
        <w:tc>
          <w:tcPr>
            <w:tcW w:w="426" w:type="dxa"/>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081"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539" w:type="dxa"/>
            <w:gridSpan w:val="4"/>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9"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232"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375"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41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1367" w:type="dxa"/>
            <w:gridSpan w:val="2"/>
            <w:tcBorders>
              <w:top w:val="single" w:color="auto" w:sz="4" w:space="0"/>
              <w:left w:val="nil"/>
              <w:bottom w:val="single" w:color="auto" w:sz="4" w:space="0"/>
              <w:right w:val="single" w:color="auto" w:sz="4" w:space="0"/>
            </w:tcBorders>
            <w:shd w:val="clear" w:color="auto" w:fill="auto"/>
            <w:noWrap/>
            <w:vAlign w:val="bottom"/>
          </w:tcPr>
          <w:p>
            <w:pPr>
              <w:spacing w:line="320" w:lineRule="exact"/>
              <w:rPr>
                <w:rFonts w:hint="eastAsia" w:ascii="仿宋" w:hAnsi="仿宋" w:eastAsia="仿宋" w:cs="仿宋"/>
                <w:sz w:val="24"/>
                <w:szCs w:val="24"/>
              </w:rPr>
            </w:pP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bl>
    <w:p>
      <w:pPr>
        <w:pStyle w:val="7"/>
        <w:spacing w:line="20" w:lineRule="exact"/>
        <w:ind w:firstLine="0" w:firstLineChars="0"/>
        <w:jc w:val="left"/>
        <w:outlineLvl w:val="1"/>
      </w:pPr>
    </w:p>
    <w:sectPr>
      <w:pgSz w:w="16838" w:h="11906" w:orient="landscape"/>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lMzQ1MjVkNzNiNmJmMDk2Y2NhNDBiMWEyYzViMDUifQ=="/>
  </w:docVars>
  <w:rsids>
    <w:rsidRoot w:val="00F8538F"/>
    <w:rsid w:val="000216B4"/>
    <w:rsid w:val="00066211"/>
    <w:rsid w:val="000B015C"/>
    <w:rsid w:val="000E00A7"/>
    <w:rsid w:val="00135E95"/>
    <w:rsid w:val="001A1744"/>
    <w:rsid w:val="001F00DA"/>
    <w:rsid w:val="001F289A"/>
    <w:rsid w:val="00210007"/>
    <w:rsid w:val="00264718"/>
    <w:rsid w:val="00294349"/>
    <w:rsid w:val="002E00EB"/>
    <w:rsid w:val="00344F92"/>
    <w:rsid w:val="003A311D"/>
    <w:rsid w:val="003C047C"/>
    <w:rsid w:val="00430C74"/>
    <w:rsid w:val="004838B8"/>
    <w:rsid w:val="004E5234"/>
    <w:rsid w:val="0051172E"/>
    <w:rsid w:val="00535FCB"/>
    <w:rsid w:val="005B658B"/>
    <w:rsid w:val="005F6B54"/>
    <w:rsid w:val="00617951"/>
    <w:rsid w:val="00657CE1"/>
    <w:rsid w:val="00671725"/>
    <w:rsid w:val="006810FE"/>
    <w:rsid w:val="006877A6"/>
    <w:rsid w:val="00687829"/>
    <w:rsid w:val="006E514F"/>
    <w:rsid w:val="006F7A39"/>
    <w:rsid w:val="00735580"/>
    <w:rsid w:val="0073728B"/>
    <w:rsid w:val="00760433"/>
    <w:rsid w:val="007B10BB"/>
    <w:rsid w:val="00827DAC"/>
    <w:rsid w:val="00851636"/>
    <w:rsid w:val="00886C0E"/>
    <w:rsid w:val="00897A29"/>
    <w:rsid w:val="008A6A71"/>
    <w:rsid w:val="008C585F"/>
    <w:rsid w:val="008C6CDA"/>
    <w:rsid w:val="008E2C46"/>
    <w:rsid w:val="00925C3F"/>
    <w:rsid w:val="00995282"/>
    <w:rsid w:val="00A30EBB"/>
    <w:rsid w:val="00A470CB"/>
    <w:rsid w:val="00A65608"/>
    <w:rsid w:val="00A8074D"/>
    <w:rsid w:val="00A85586"/>
    <w:rsid w:val="00C97F45"/>
    <w:rsid w:val="00CB0117"/>
    <w:rsid w:val="00D20677"/>
    <w:rsid w:val="00D4351A"/>
    <w:rsid w:val="00D67B50"/>
    <w:rsid w:val="00D85B0B"/>
    <w:rsid w:val="00D86E17"/>
    <w:rsid w:val="00E264CF"/>
    <w:rsid w:val="00E87612"/>
    <w:rsid w:val="00EB0466"/>
    <w:rsid w:val="00EB608A"/>
    <w:rsid w:val="00EF78DD"/>
    <w:rsid w:val="00F6464D"/>
    <w:rsid w:val="00F8538F"/>
    <w:rsid w:val="712D70A9"/>
    <w:rsid w:val="7C13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Calibri" w:hAnsi="Calibri" w:eastAsia="仿宋_GB2312" w:cs="宋体"/>
      <w:kern w:val="2"/>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pPr>
      <w:spacing w:line="240" w:lineRule="auto"/>
    </w:pPr>
    <w:rPr>
      <w:sz w:val="18"/>
      <w:szCs w:val="18"/>
    </w:rPr>
  </w:style>
  <w:style w:type="paragraph" w:styleId="3">
    <w:name w:val="footer"/>
    <w:basedOn w:val="1"/>
    <w:link w:val="9"/>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autoRedefine/>
    <w:qFormat/>
    <w:uiPriority w:val="34"/>
    <w:pPr>
      <w:ind w:firstLine="420" w:firstLineChars="200"/>
    </w:pPr>
  </w:style>
  <w:style w:type="character" w:customStyle="1" w:styleId="8">
    <w:name w:val="页眉 Char"/>
    <w:basedOn w:val="6"/>
    <w:link w:val="4"/>
    <w:autoRedefine/>
    <w:semiHidden/>
    <w:qFormat/>
    <w:uiPriority w:val="99"/>
    <w:rPr>
      <w:rFonts w:ascii="Calibri" w:hAnsi="Calibri" w:eastAsia="仿宋_GB2312" w:cs="宋体"/>
      <w:sz w:val="18"/>
      <w:szCs w:val="18"/>
    </w:rPr>
  </w:style>
  <w:style w:type="character" w:customStyle="1" w:styleId="9">
    <w:name w:val="页脚 Char"/>
    <w:basedOn w:val="6"/>
    <w:link w:val="3"/>
    <w:autoRedefine/>
    <w:semiHidden/>
    <w:qFormat/>
    <w:uiPriority w:val="99"/>
    <w:rPr>
      <w:rFonts w:ascii="Calibri" w:hAnsi="Calibri" w:eastAsia="仿宋_GB2312" w:cs="宋体"/>
      <w:sz w:val="18"/>
      <w:szCs w:val="18"/>
    </w:rPr>
  </w:style>
  <w:style w:type="character" w:customStyle="1" w:styleId="10">
    <w:name w:val="批注框文本 Char"/>
    <w:basedOn w:val="6"/>
    <w:link w:val="2"/>
    <w:autoRedefine/>
    <w:semiHidden/>
    <w:qFormat/>
    <w:uiPriority w:val="99"/>
    <w:rPr>
      <w:rFonts w:ascii="Calibri" w:hAnsi="Calibri" w:eastAsia="仿宋_GB2312"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571</Words>
  <Characters>3256</Characters>
  <Lines>27</Lines>
  <Paragraphs>7</Paragraphs>
  <TotalTime>0</TotalTime>
  <ScaleCrop>false</ScaleCrop>
  <LinksUpToDate>false</LinksUpToDate>
  <CharactersWithSpaces>3820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2018-05-23T03:10:00Z</dcterms:created>
  <dc:creator>Administrator</dc:creator>
  <cp:lastModifiedBy>浮梁县</cp:lastModifiedBy>
  <cp:lastPrinted>2018-05-21T08:01:00Z</cp:lastPrinted>
  <dcterms:modified xsi:type="dcterms:W3CDTF">2024-03-13T15:34:42Z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77DC42144C6E4442BCB93A6013CFA6D8_12</vt:lpwstr>
  </property>
</Properties>
</file>